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60"/>
        </w:tabs>
        <w:ind w:firstLine="525" w:firstLineChars="250"/>
        <w:rPr>
          <w:rFonts w:hint="eastAsia"/>
        </w:rPr>
      </w:pPr>
    </w:p>
    <w:p>
      <w:pPr>
        <w:tabs>
          <w:tab w:val="left" w:pos="1860"/>
        </w:tabs>
        <w:ind w:firstLine="525" w:firstLineChars="250"/>
        <w:rPr>
          <w:rFonts w:hint="eastAsia"/>
        </w:rPr>
      </w:pPr>
    </w:p>
    <w:p>
      <w:pPr>
        <w:tabs>
          <w:tab w:val="left" w:pos="1860"/>
        </w:tabs>
        <w:ind w:firstLine="525" w:firstLineChars="250"/>
        <w:rPr>
          <w:rFonts w:hint="eastAsia"/>
        </w:rPr>
      </w:pPr>
    </w:p>
    <w:p>
      <w:pPr>
        <w:tabs>
          <w:tab w:val="left" w:pos="1860"/>
        </w:tabs>
        <w:ind w:firstLine="525" w:firstLineChars="250"/>
        <w:rPr>
          <w:rFonts w:hint="eastAsia"/>
        </w:rPr>
      </w:pPr>
    </w:p>
    <w:p>
      <w:pPr>
        <w:tabs>
          <w:tab w:val="left" w:pos="1860"/>
        </w:tabs>
        <w:ind w:firstLine="525" w:firstLineChars="250"/>
        <w:rPr>
          <w:rFonts w:hint="eastAsia" w:ascii="黑体" w:eastAsia="黑体"/>
          <w:sz w:val="48"/>
          <w:szCs w:val="48"/>
        </w:rPr>
      </w:pPr>
      <w:r>
        <w:rPr>
          <w:rFonts w:hint="eastAsia"/>
        </w:rPr>
        <w:t xml:space="preserve">        </w:t>
      </w:r>
      <w:r>
        <w:rPr>
          <w:rFonts w:hint="eastAsia" w:ascii="黑体" w:eastAsia="黑体"/>
          <w:sz w:val="48"/>
          <w:szCs w:val="48"/>
        </w:rPr>
        <w:t xml:space="preserve">装载机（叉车）操作教学仪            </w:t>
      </w:r>
    </w:p>
    <w:p>
      <w:pPr>
        <w:tabs>
          <w:tab w:val="left" w:pos="1860"/>
        </w:tabs>
        <w:rPr>
          <w:rFonts w:hint="eastAsia"/>
          <w:sz w:val="48"/>
          <w:szCs w:val="48"/>
        </w:rPr>
      </w:pPr>
    </w:p>
    <w:p>
      <w:pPr>
        <w:tabs>
          <w:tab w:val="left" w:pos="1860"/>
        </w:tabs>
        <w:ind w:firstLine="4176" w:firstLineChars="800"/>
        <w:rPr>
          <w:rFonts w:hint="eastAsia"/>
          <w:sz w:val="44"/>
          <w:szCs w:val="44"/>
        </w:rPr>
      </w:pPr>
      <w:r>
        <w:rPr>
          <w:rFonts w:hint="eastAsia" w:ascii="宋体" w:hAnsi="宋体"/>
          <w:b/>
          <w:sz w:val="52"/>
          <w:szCs w:val="52"/>
        </w:rPr>
        <w:t>用</w:t>
      </w:r>
    </w:p>
    <w:p>
      <w:pPr>
        <w:tabs>
          <w:tab w:val="left" w:pos="1860"/>
        </w:tabs>
        <w:ind w:firstLine="4176" w:firstLineChars="800"/>
        <w:rPr>
          <w:rFonts w:hint="eastAsia"/>
          <w:sz w:val="72"/>
          <w:szCs w:val="72"/>
        </w:rPr>
      </w:pPr>
      <w:r>
        <w:rPr>
          <w:rFonts w:hint="eastAsia" w:ascii="宋体" w:hAnsi="宋体"/>
          <w:b/>
          <w:sz w:val="52"/>
          <w:szCs w:val="52"/>
        </w:rPr>
        <w:t>户</w:t>
      </w:r>
    </w:p>
    <w:p>
      <w:pPr>
        <w:tabs>
          <w:tab w:val="left" w:pos="1860"/>
        </w:tabs>
        <w:ind w:firstLine="4176" w:firstLineChars="800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使</w:t>
      </w:r>
    </w:p>
    <w:p>
      <w:pPr>
        <w:tabs>
          <w:tab w:val="left" w:pos="1860"/>
        </w:tabs>
        <w:ind w:firstLine="4176" w:firstLineChars="800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用</w:t>
      </w:r>
    </w:p>
    <w:p>
      <w:pPr>
        <w:tabs>
          <w:tab w:val="left" w:pos="1860"/>
        </w:tabs>
        <w:ind w:firstLine="4176" w:firstLineChars="800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说</w:t>
      </w:r>
    </w:p>
    <w:p>
      <w:pPr>
        <w:tabs>
          <w:tab w:val="left" w:pos="1860"/>
        </w:tabs>
        <w:ind w:firstLine="4176" w:firstLineChars="800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明</w:t>
      </w:r>
    </w:p>
    <w:p>
      <w:pPr>
        <w:tabs>
          <w:tab w:val="left" w:pos="1860"/>
        </w:tabs>
        <w:ind w:firstLine="4176" w:firstLineChars="800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书</w:t>
      </w:r>
    </w:p>
    <w:p>
      <w:pPr>
        <w:tabs>
          <w:tab w:val="left" w:pos="1860"/>
        </w:tabs>
        <w:rPr>
          <w:rFonts w:hint="eastAsia"/>
          <w:sz w:val="48"/>
          <w:szCs w:val="48"/>
        </w:rPr>
      </w:pPr>
    </w:p>
    <w:p>
      <w:pPr>
        <w:tabs>
          <w:tab w:val="left" w:pos="1860"/>
        </w:tabs>
        <w:rPr>
          <w:rFonts w:hint="eastAsia"/>
          <w:sz w:val="48"/>
          <w:szCs w:val="48"/>
        </w:rPr>
      </w:pPr>
    </w:p>
    <w:p>
      <w:pPr>
        <w:rPr>
          <w:rFonts w:hint="eastAsia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</w:t>
      </w:r>
    </w:p>
    <w:p>
      <w:pPr>
        <w:ind w:firstLine="1680" w:firstLineChars="350"/>
        <w:rPr>
          <w:rFonts w:hint="eastAsia"/>
        </w:rPr>
      </w:pPr>
      <w:r>
        <w:rPr>
          <w:rFonts w:hint="eastAsia"/>
          <w:sz w:val="48"/>
          <w:szCs w:val="48"/>
          <w:lang w:val="en-US" w:eastAsia="zh-CN"/>
        </w:rPr>
        <w:t>成都特路坚</w:t>
      </w:r>
      <w:r>
        <w:rPr>
          <w:rFonts w:hint="eastAsia"/>
          <w:sz w:val="48"/>
          <w:szCs w:val="48"/>
        </w:rPr>
        <w:t xml:space="preserve">科技有限公司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2205" w:firstLineChars="1050"/>
        <w:rPr>
          <w:rFonts w:hint="eastAsia"/>
          <w:b/>
          <w:sz w:val="28"/>
          <w:szCs w:val="28"/>
        </w:rPr>
      </w:pPr>
      <w:r>
        <w:rPr>
          <w:rFonts w:hint="eastAsia"/>
        </w:rPr>
        <w:t xml:space="preserve">   </w:t>
      </w:r>
      <w:r>
        <w:rPr>
          <w:rFonts w:hint="eastAsia"/>
          <w:b/>
          <w:sz w:val="28"/>
          <w:szCs w:val="28"/>
        </w:rPr>
        <w:t>装载机叉车教学仪操作说明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一：内容结构</w:t>
      </w:r>
    </w:p>
    <w:p>
      <w:pPr>
        <w:rPr>
          <w:rFonts w:hint="eastAsia"/>
          <w:b/>
          <w:bCs/>
          <w:sz w:val="24"/>
          <w:szCs w:val="24"/>
        </w:rPr>
      </w:pPr>
    </w:p>
    <w:p>
      <w:pPr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本产品由硬件和软件构成。硬件方向机，手刹均采用真机的设备，油门、脚刹、操作杆都是仿真机制造。软件是三维仿真软件，画面清晰逼真，运动流畅有立体感，音效仿真机操作声音设计，听起来更真实。软件内容：叉车仿真实训、装载机仿真实训。</w:t>
      </w:r>
      <w:r>
        <w:rPr>
          <w:rFonts w:hint="eastAsia"/>
          <w:b/>
          <w:szCs w:val="21"/>
        </w:rPr>
        <w:t>叉车仿真实训</w:t>
      </w:r>
      <w:r>
        <w:rPr>
          <w:rFonts w:hint="eastAsia"/>
          <w:szCs w:val="21"/>
        </w:rPr>
        <w:t>教程有：</w:t>
      </w:r>
      <w:r>
        <w:rPr>
          <w:rFonts w:hint="eastAsia"/>
          <w:b/>
          <w:szCs w:val="21"/>
        </w:rPr>
        <w:t>引导训练、自由练习、操作考核、视频播放、文档资料、理论考</w:t>
      </w:r>
      <w:bookmarkStart w:id="0" w:name="_GoBack"/>
      <w:bookmarkEnd w:id="0"/>
      <w:r>
        <w:rPr>
          <w:rFonts w:hint="eastAsia"/>
          <w:b/>
          <w:szCs w:val="21"/>
        </w:rPr>
        <w:t>核</w:t>
      </w:r>
      <w:r>
        <w:rPr>
          <w:rFonts w:hint="eastAsia"/>
          <w:szCs w:val="21"/>
        </w:rPr>
        <w:t>等。</w:t>
      </w:r>
    </w:p>
    <w:p>
      <w:pPr>
        <w:ind w:firstLine="422" w:firstLineChars="200"/>
        <w:rPr>
          <w:rFonts w:hint="eastAsia"/>
          <w:szCs w:val="21"/>
        </w:rPr>
      </w:pPr>
      <w:r>
        <w:rPr>
          <w:rFonts w:hint="eastAsia"/>
          <w:b/>
          <w:szCs w:val="21"/>
        </w:rPr>
        <w:t>引导训练</w:t>
      </w:r>
      <w:r>
        <w:rPr>
          <w:rFonts w:hint="eastAsia"/>
          <w:szCs w:val="21"/>
        </w:rPr>
        <w:t>课题有：新手上路、八字行驶训练、侧方移位训练、通道驾驶训练、倒进车库训练。</w:t>
      </w:r>
    </w:p>
    <w:p>
      <w:pPr>
        <w:ind w:firstLine="422" w:firstLineChars="200"/>
        <w:rPr>
          <w:rFonts w:hint="eastAsia"/>
          <w:szCs w:val="21"/>
        </w:rPr>
      </w:pPr>
      <w:r>
        <w:rPr>
          <w:rFonts w:hint="eastAsia"/>
          <w:b/>
          <w:szCs w:val="21"/>
        </w:rPr>
        <w:t>自由练习</w:t>
      </w:r>
      <w:r>
        <w:rPr>
          <w:rFonts w:hint="eastAsia"/>
          <w:szCs w:val="21"/>
        </w:rPr>
        <w:t>课题有：综合驾驶训练、拆码垛、直通道进退驾驶训练（牵引列车）、八字行进训练（牵引列车）、倒进车库训练（牵引列车）、侧方移位训练（牵引列车）。</w:t>
      </w:r>
    </w:p>
    <w:p>
      <w:pPr>
        <w:ind w:firstLine="422" w:firstLineChars="200"/>
        <w:rPr>
          <w:rFonts w:hint="eastAsia"/>
          <w:szCs w:val="21"/>
        </w:rPr>
      </w:pPr>
      <w:r>
        <w:rPr>
          <w:rFonts w:hint="eastAsia"/>
          <w:b/>
          <w:szCs w:val="21"/>
        </w:rPr>
        <w:t>操作考核</w:t>
      </w:r>
      <w:r>
        <w:rPr>
          <w:rFonts w:hint="eastAsia"/>
          <w:szCs w:val="21"/>
        </w:rPr>
        <w:t>课题有：火车站、绕圆迂回、正逆迂回、通道考核、模拟运货、组成模拟车厢、拆码垛、综合考核、物流大赛、T型考核。</w:t>
      </w:r>
    </w:p>
    <w:p>
      <w:pPr>
        <w:ind w:firstLine="422" w:firstLineChars="200"/>
        <w:rPr>
          <w:rFonts w:hint="eastAsia"/>
          <w:szCs w:val="21"/>
        </w:rPr>
      </w:pPr>
      <w:r>
        <w:rPr>
          <w:rFonts w:hint="eastAsia"/>
          <w:b/>
          <w:szCs w:val="21"/>
        </w:rPr>
        <w:t>视频播放：</w:t>
      </w:r>
      <w:r>
        <w:rPr>
          <w:rFonts w:hint="eastAsia"/>
          <w:szCs w:val="21"/>
        </w:rPr>
        <w:t>播放真机操作视频，使学员切身体会操作方法及步骤。</w:t>
      </w:r>
    </w:p>
    <w:p>
      <w:pPr>
        <w:ind w:firstLine="422" w:firstLineChars="200"/>
        <w:rPr>
          <w:rFonts w:hint="eastAsia"/>
          <w:szCs w:val="21"/>
        </w:rPr>
      </w:pPr>
      <w:r>
        <w:rPr>
          <w:rFonts w:hint="eastAsia"/>
          <w:b/>
          <w:szCs w:val="21"/>
        </w:rPr>
        <w:t>文档资料：</w:t>
      </w:r>
      <w:r>
        <w:rPr>
          <w:rFonts w:hint="eastAsia"/>
          <w:szCs w:val="21"/>
        </w:rPr>
        <w:t>通过幻灯片演示，将叉车理论知识播放给学员看，使学员了解叉车的基础知识和注意事项，规范学员的操作。</w:t>
      </w:r>
    </w:p>
    <w:p>
      <w:pPr>
        <w:ind w:firstLine="422" w:firstLineChars="200"/>
        <w:rPr>
          <w:rFonts w:hint="eastAsia"/>
          <w:szCs w:val="21"/>
        </w:rPr>
      </w:pPr>
      <w:r>
        <w:rPr>
          <w:rFonts w:hint="eastAsia"/>
          <w:b/>
          <w:szCs w:val="21"/>
        </w:rPr>
        <w:t>理论考核：</w:t>
      </w:r>
      <w:r>
        <w:rPr>
          <w:rFonts w:hint="eastAsia"/>
          <w:szCs w:val="21"/>
        </w:rPr>
        <w:t>里面有一百道题目，以选择题形式答题，考察学员理论知识掌握情况。</w:t>
      </w:r>
    </w:p>
    <w:p>
      <w:pPr>
        <w:ind w:firstLine="422" w:firstLineChars="200"/>
        <w:rPr>
          <w:rFonts w:hint="eastAsia"/>
          <w:szCs w:val="21"/>
        </w:rPr>
      </w:pPr>
      <w:r>
        <w:rPr>
          <w:rFonts w:hint="eastAsia"/>
          <w:b/>
          <w:szCs w:val="21"/>
        </w:rPr>
        <w:t>装载机仿真实训</w:t>
      </w:r>
      <w:r>
        <w:rPr>
          <w:rFonts w:hint="eastAsia"/>
          <w:szCs w:val="21"/>
        </w:rPr>
        <w:t>教程有：</w:t>
      </w:r>
      <w:r>
        <w:rPr>
          <w:rFonts w:hint="eastAsia"/>
          <w:b/>
          <w:szCs w:val="21"/>
        </w:rPr>
        <w:t>引导训练、自由练习、操作考核、视频播放、文档资料、理论考核</w:t>
      </w:r>
      <w:r>
        <w:rPr>
          <w:rFonts w:hint="eastAsia"/>
          <w:szCs w:val="21"/>
        </w:rPr>
        <w:t>。</w:t>
      </w:r>
      <w:r>
        <w:rPr>
          <w:rFonts w:hint="eastAsia"/>
          <w:b/>
          <w:szCs w:val="21"/>
        </w:rPr>
        <w:t>引导训练</w:t>
      </w:r>
      <w:r>
        <w:rPr>
          <w:rFonts w:hint="eastAsia"/>
          <w:szCs w:val="21"/>
        </w:rPr>
        <w:t>课题有：V形装卸法训练、I形装卸法训练、L形装卸法训练、T形装卸法训练。</w:t>
      </w:r>
      <w:r>
        <w:rPr>
          <w:rFonts w:hint="eastAsia"/>
          <w:b/>
          <w:szCs w:val="21"/>
        </w:rPr>
        <w:t>操作考核</w:t>
      </w:r>
      <w:r>
        <w:rPr>
          <w:rFonts w:hint="eastAsia"/>
          <w:szCs w:val="21"/>
        </w:rPr>
        <w:t>课题有：常规操作任务考核、填平任务考核、刮平任务考核、堆积任务考核、推土任务考核、牵引任务考核。在不同场景中学员可以自由训练，丰富学员的课程，提高学员学习的积极性。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二：使用方法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1）按一下红色开机按钮，系统自动启动进入登录界面（如图1）。按小键盘的4、6键选中机型，按Enter键进入叉车实训系统（如图2）。</w:t>
      </w:r>
    </w:p>
    <w:p>
      <w:pPr>
        <w:rPr>
          <w:rFonts w:hint="eastAsia"/>
          <w:b/>
          <w:sz w:val="28"/>
          <w:szCs w:val="28"/>
        </w:rPr>
      </w:pPr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2667000</wp:posOffset>
            </wp:positionH>
            <wp:positionV relativeFrom="paragraph">
              <wp:posOffset>110490</wp:posOffset>
            </wp:positionV>
            <wp:extent cx="2600325" cy="2112645"/>
            <wp:effectExtent l="0" t="0" r="3175" b="8255"/>
            <wp:wrapNone/>
            <wp:docPr id="2" name="图片 3" descr="叉车开始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叉车开始界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1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-47625</wp:posOffset>
            </wp:positionH>
            <wp:positionV relativeFrom="paragraph">
              <wp:posOffset>110490</wp:posOffset>
            </wp:positionV>
            <wp:extent cx="2647950" cy="2112645"/>
            <wp:effectExtent l="0" t="0" r="6350" b="8255"/>
            <wp:wrapNone/>
            <wp:docPr id="1" name="图片 2" descr="主开始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主开始界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21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28"/>
          <w:szCs w:val="28"/>
        </w:rPr>
        <w:t xml:space="preserve">   </w:t>
      </w: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</w:t>
      </w:r>
      <w:r>
        <w:rPr>
          <w:rFonts w:hint="eastAsia" w:ascii="宋体" w:hAnsi="宋体"/>
          <w:szCs w:val="21"/>
        </w:rPr>
        <w:t xml:space="preserve">（图1） </w:t>
      </w:r>
      <w:r>
        <w:rPr>
          <w:rFonts w:hint="eastAsia"/>
          <w:b/>
          <w:sz w:val="28"/>
          <w:szCs w:val="28"/>
        </w:rPr>
        <w:t xml:space="preserve">                         </w:t>
      </w:r>
      <w:r>
        <w:rPr>
          <w:rFonts w:hint="eastAsia" w:ascii="宋体" w:hAnsi="宋体"/>
          <w:szCs w:val="21"/>
        </w:rPr>
        <w:t>（图2）</w:t>
      </w:r>
      <w:r>
        <w:rPr>
          <w:rFonts w:hint="eastAsia"/>
          <w:b/>
          <w:sz w:val="28"/>
          <w:szCs w:val="28"/>
        </w:rPr>
        <w:t xml:space="preserve">       </w:t>
      </w: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b/>
          <w:sz w:val="28"/>
          <w:szCs w:val="28"/>
        </w:rPr>
      </w:pP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继续按Enter键进入叉车主界面（如图3）</w:t>
      </w:r>
    </w:p>
    <w:p>
      <w:pPr>
        <w:rPr>
          <w:rFonts w:hint="eastAsia"/>
          <w:szCs w:val="21"/>
        </w:rPr>
      </w:pPr>
      <w:r>
        <w:rPr>
          <w:lang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0</wp:posOffset>
            </wp:positionV>
            <wp:extent cx="3362325" cy="1997075"/>
            <wp:effectExtent l="0" t="0" r="3175" b="9525"/>
            <wp:wrapNone/>
            <wp:docPr id="3" name="图片 4" descr="叉车主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叉车主界面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99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Cs w:val="21"/>
        </w:rPr>
        <w:t xml:space="preserve">                      </w:t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（图3）</w:t>
      </w:r>
    </w:p>
    <w:p>
      <w:pPr>
        <w:rPr>
          <w:rFonts w:hint="eastAsia"/>
          <w:szCs w:val="21"/>
        </w:rPr>
      </w:pPr>
      <w:r>
        <w:rPr>
          <w:lang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495300</wp:posOffset>
            </wp:positionV>
            <wp:extent cx="3333750" cy="1883410"/>
            <wp:effectExtent l="0" t="0" r="6350" b="8890"/>
            <wp:wrapNone/>
            <wp:docPr id="4" name="图片 5" descr="叉车操作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叉车操作界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Cs w:val="21"/>
        </w:rPr>
        <w:t>在此界面中按4、6键选择不同的模块，小键盘的-、+键选择模块中的不同课题，按Enter键进入。我们进入引导训练模块中新手上路按Enter键,继续按Enter键进入操作界面（如图4）。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</w:t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（图4）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操作叉车步骤：踩离合、挂档、松离合、踩油门叉车就可以行走了，方向盘中间按簧是机器的喇叭，拉手刹机器停止行走。叉车右推杆控制货叉前倾后倾，左推杆控制货叉的升降操作。在不同的场景中都有文字说明，根据文字说明进行操作,完成课题。   </w:t>
      </w: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>退出场景按小键盘的.Del键(如图5),再按Enter键退出场景，进入主界面。</w:t>
      </w:r>
    </w:p>
    <w:p>
      <w:pPr>
        <w:rPr>
          <w:rFonts w:hint="eastAsia"/>
          <w:szCs w:val="21"/>
        </w:rPr>
      </w:pPr>
      <w:r>
        <w:rPr>
          <w:lang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99060</wp:posOffset>
            </wp:positionV>
            <wp:extent cx="3333750" cy="1884045"/>
            <wp:effectExtent l="0" t="0" r="6350" b="8255"/>
            <wp:wrapNone/>
            <wp:docPr id="5" name="图片 6" descr="叉车操作退出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叉车操作退出界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88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Cs w:val="21"/>
        </w:rPr>
        <w:t xml:space="preserve">        </w:t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   （图5）</w:t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numPr>
          <w:ilvl w:val="0"/>
          <w:numId w:val="1"/>
        </w:numPr>
        <w:tabs>
          <w:tab w:val="left" w:pos="2316"/>
        </w:tabs>
        <w:jc w:val="left"/>
        <w:rPr>
          <w:rFonts w:hint="eastAsia"/>
        </w:rPr>
      </w:pPr>
      <w:r>
        <w:rPr>
          <w:rFonts w:hint="eastAsia"/>
        </w:rPr>
        <w:t>按小键盘的4、6键选中视频播放（如图6），+键和-键分别是选择下一个上一个视频内容，选中后按Enter键进行播放。</w:t>
      </w:r>
    </w:p>
    <w:p>
      <w:pPr>
        <w:tabs>
          <w:tab w:val="left" w:pos="2316"/>
        </w:tabs>
        <w:jc w:val="left"/>
        <w:rPr>
          <w:rFonts w:hint="eastAsia"/>
        </w:rPr>
      </w:pPr>
      <w:r>
        <w:rPr>
          <w:lang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0</wp:posOffset>
            </wp:positionV>
            <wp:extent cx="3676650" cy="2077085"/>
            <wp:effectExtent l="0" t="0" r="6350" b="5715"/>
            <wp:wrapNone/>
            <wp:docPr id="6" name="图片 7" descr="叉车视频播放主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叉车视频播放主界面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207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 （图6）</w:t>
      </w:r>
    </w:p>
    <w:p>
      <w:pPr>
        <w:numPr>
          <w:ilvl w:val="0"/>
          <w:numId w:val="1"/>
        </w:numPr>
        <w:tabs>
          <w:tab w:val="left" w:pos="1791"/>
        </w:tabs>
        <w:jc w:val="left"/>
        <w:rPr>
          <w:rFonts w:hint="eastAsia"/>
        </w:rPr>
      </w:pPr>
      <w:r>
        <w:rPr>
          <w:rFonts w:hint="eastAsia"/>
        </w:rPr>
        <w:t>按小键盘的6键选中文档资料（如图7）。+键和-键分别是下一个上一个文档内容，选中后按7键和9键上下翻页。</w:t>
      </w:r>
    </w:p>
    <w:p>
      <w:pPr>
        <w:rPr>
          <w:szCs w:val="21"/>
        </w:rPr>
      </w:pPr>
      <w:r>
        <w:rPr>
          <w:lang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800100</wp:posOffset>
            </wp:positionH>
            <wp:positionV relativeFrom="paragraph">
              <wp:posOffset>0</wp:posOffset>
            </wp:positionV>
            <wp:extent cx="3676650" cy="2077085"/>
            <wp:effectExtent l="0" t="0" r="6350" b="5715"/>
            <wp:wrapNone/>
            <wp:docPr id="7" name="图片 8" descr="叉车文档资料主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叉车文档资料主界面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207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（图7）</w:t>
      </w:r>
    </w:p>
    <w:p>
      <w:pPr>
        <w:numPr>
          <w:ilvl w:val="0"/>
          <w:numId w:val="2"/>
        </w:numPr>
        <w:tabs>
          <w:tab w:val="left" w:pos="2271"/>
        </w:tabs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按小键盘的６键选中理论考核（如图8），再按Enter键进入考试系统（如图9）。</w:t>
      </w:r>
    </w:p>
    <w:p>
      <w:pPr>
        <w:ind w:firstLine="420" w:firstLineChars="200"/>
        <w:rPr>
          <w:szCs w:val="21"/>
        </w:rPr>
      </w:pPr>
      <w:r>
        <w:rPr>
          <w:lang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99060</wp:posOffset>
            </wp:positionV>
            <wp:extent cx="2038350" cy="1833880"/>
            <wp:effectExtent l="0" t="0" r="6350" b="7620"/>
            <wp:wrapNone/>
            <wp:docPr id="8" name="图片 9" descr="叉车理论考核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叉车理论考核界面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83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99060</wp:posOffset>
            </wp:positionV>
            <wp:extent cx="2019300" cy="1816100"/>
            <wp:effectExtent l="0" t="0" r="0" b="0"/>
            <wp:wrapNone/>
            <wp:docPr id="9" name="图片 10" descr="叉车理论考核界面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叉车理论考核界面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</w:t>
      </w:r>
    </w:p>
    <w:p>
      <w:pPr>
        <w:rPr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（图8）                                         （图9）</w:t>
      </w:r>
    </w:p>
    <w:p>
      <w:pPr>
        <w:tabs>
          <w:tab w:val="left" w:pos="2271"/>
        </w:tabs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考试系统（如图9）中答题用小键盘的1、2、3、4分别代表A、B、C、D四个答案。做完题目按+键或-键选择下一题或上一题继续做。提交试卷按小键盘的Enter键提交试卷（如图10），再按一次Enter键返回主界面。</w:t>
      </w: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  <w:r>
        <w:rPr>
          <w:lang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0</wp:posOffset>
            </wp:positionV>
            <wp:extent cx="3562350" cy="2012950"/>
            <wp:effectExtent l="0" t="0" r="6350" b="6350"/>
            <wp:wrapNone/>
            <wp:docPr id="10" name="图片 11" descr="叉车理论考核提交成绩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1" descr="叉车理论考核提交成绩界面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  <w:r>
        <w:rPr>
          <w:szCs w:val="21"/>
        </w:rPr>
        <w:tab/>
      </w: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</w:p>
    <w:p>
      <w:pPr>
        <w:tabs>
          <w:tab w:val="left" w:pos="6510"/>
        </w:tabs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  （图10）</w:t>
      </w:r>
    </w:p>
    <w:p>
      <w:pPr>
        <w:numPr>
          <w:ilvl w:val="0"/>
          <w:numId w:val="3"/>
        </w:numPr>
        <w:tabs>
          <w:tab w:val="left" w:pos="2061"/>
        </w:tabs>
        <w:jc w:val="left"/>
        <w:rPr>
          <w:rFonts w:hint="eastAsia"/>
        </w:rPr>
      </w:pPr>
      <w:r>
        <w:rPr>
          <w:rFonts w:hint="eastAsia"/>
        </w:rPr>
        <w:t>退出系统：选择重新登录（如图11），再按Enter键（如图12），继续按Enter键退出系统。</w:t>
      </w:r>
    </w:p>
    <w:p>
      <w:pPr>
        <w:tabs>
          <w:tab w:val="left" w:pos="6510"/>
        </w:tabs>
        <w:rPr>
          <w:szCs w:val="21"/>
        </w:rPr>
      </w:pPr>
      <w:r>
        <w:rPr>
          <w:lang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0</wp:posOffset>
            </wp:positionV>
            <wp:extent cx="2428875" cy="2093595"/>
            <wp:effectExtent l="0" t="0" r="9525" b="1905"/>
            <wp:wrapNone/>
            <wp:docPr id="11" name="图片 12" descr="叉车退出系统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叉车退出系统界面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09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0</wp:posOffset>
            </wp:positionV>
            <wp:extent cx="2352675" cy="2130425"/>
            <wp:effectExtent l="0" t="0" r="9525" b="3175"/>
            <wp:wrapNone/>
            <wp:docPr id="12" name="图片 13" descr="叉车退出界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 descr="叉车退出界面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13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  <w:r>
        <w:rPr>
          <w:szCs w:val="21"/>
        </w:rPr>
        <w:tab/>
      </w:r>
      <w:r>
        <w:rPr>
          <w:rFonts w:hint="eastAsia"/>
          <w:szCs w:val="21"/>
        </w:rPr>
        <w:t>（图11）                                      （图12）</w:t>
      </w: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  <w:r>
        <w:rPr>
          <w:rFonts w:hint="eastAsia"/>
          <w:szCs w:val="21"/>
        </w:rPr>
        <w:t>退出系统后直接按红色按钮关机就行了。</w:t>
      </w: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  <w:r>
        <w:rPr>
          <w:rFonts w:hint="eastAsia"/>
          <w:szCs w:val="21"/>
        </w:rPr>
        <w:drawing>
          <wp:inline distT="0" distB="0" distL="114300" distR="114300">
            <wp:extent cx="4869180" cy="4683760"/>
            <wp:effectExtent l="0" t="0" r="7620" b="2540"/>
            <wp:docPr id="13" name="图片 1" descr="新小键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新小键盘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69180" cy="468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Cs w:val="21"/>
        </w:rPr>
      </w:pPr>
    </w:p>
    <w:p>
      <w:pPr>
        <w:tabs>
          <w:tab w:val="left" w:pos="1860"/>
        </w:tabs>
        <w:rPr>
          <w:rFonts w:hint="eastAsia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</w:t>
      </w:r>
    </w:p>
    <w:p>
      <w:pPr>
        <w:tabs>
          <w:tab w:val="left" w:pos="1860"/>
        </w:tabs>
        <w:rPr>
          <w:rFonts w:hint="eastAsia"/>
          <w:sz w:val="48"/>
          <w:szCs w:val="48"/>
        </w:rPr>
      </w:pPr>
    </w:p>
    <w:p>
      <w:pPr>
        <w:tabs>
          <w:tab w:val="left" w:pos="1860"/>
        </w:tabs>
        <w:rPr>
          <w:rFonts w:hint="eastAsia"/>
          <w:sz w:val="48"/>
          <w:szCs w:val="48"/>
        </w:rPr>
      </w:pPr>
    </w:p>
    <w:p>
      <w:pPr>
        <w:tabs>
          <w:tab w:val="left" w:pos="1860"/>
        </w:tabs>
        <w:rPr>
          <w:sz w:val="48"/>
          <w:szCs w:val="48"/>
        </w:rPr>
      </w:pPr>
      <w:r>
        <w:rPr>
          <w:rFonts w:hint="eastAsia"/>
          <w:sz w:val="48"/>
          <w:szCs w:val="48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80E78C"/>
    <w:multiLevelType w:val="singleLevel"/>
    <w:tmpl w:val="5580E78C"/>
    <w:lvl w:ilvl="0" w:tentative="0">
      <w:start w:val="2"/>
      <w:numFmt w:val="decimal"/>
      <w:suff w:val="nothing"/>
      <w:lvlText w:val="%1）"/>
      <w:lvlJc w:val="left"/>
    </w:lvl>
  </w:abstractNum>
  <w:abstractNum w:abstractNumId="1">
    <w:nsid w:val="55810477"/>
    <w:multiLevelType w:val="singleLevel"/>
    <w:tmpl w:val="55810477"/>
    <w:lvl w:ilvl="0" w:tentative="0">
      <w:start w:val="4"/>
      <w:numFmt w:val="decimalFullWidth"/>
      <w:suff w:val="nothing"/>
      <w:lvlText w:val="%1）"/>
      <w:lvlJc w:val="left"/>
    </w:lvl>
  </w:abstractNum>
  <w:abstractNum w:abstractNumId="2">
    <w:nsid w:val="5581098E"/>
    <w:multiLevelType w:val="singleLevel"/>
    <w:tmpl w:val="5581098E"/>
    <w:lvl w:ilvl="0" w:tentative="0">
      <w:start w:val="5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3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74A"/>
    <w:rsid w:val="00063458"/>
    <w:rsid w:val="000E70B7"/>
    <w:rsid w:val="00194494"/>
    <w:rsid w:val="001C0E8B"/>
    <w:rsid w:val="002040C2"/>
    <w:rsid w:val="0020661D"/>
    <w:rsid w:val="00221DD4"/>
    <w:rsid w:val="0025031F"/>
    <w:rsid w:val="0026635A"/>
    <w:rsid w:val="002C4882"/>
    <w:rsid w:val="00376A78"/>
    <w:rsid w:val="003F76E5"/>
    <w:rsid w:val="0040084F"/>
    <w:rsid w:val="004C4FA5"/>
    <w:rsid w:val="004F537B"/>
    <w:rsid w:val="00517A02"/>
    <w:rsid w:val="00560CE0"/>
    <w:rsid w:val="00565033"/>
    <w:rsid w:val="005D2C49"/>
    <w:rsid w:val="005F7832"/>
    <w:rsid w:val="00661DB9"/>
    <w:rsid w:val="006672C3"/>
    <w:rsid w:val="006756D6"/>
    <w:rsid w:val="006A0D7E"/>
    <w:rsid w:val="006E710D"/>
    <w:rsid w:val="007126E1"/>
    <w:rsid w:val="007A0B26"/>
    <w:rsid w:val="007D1698"/>
    <w:rsid w:val="00804B01"/>
    <w:rsid w:val="00815FF0"/>
    <w:rsid w:val="008258BD"/>
    <w:rsid w:val="0088574A"/>
    <w:rsid w:val="0089119D"/>
    <w:rsid w:val="009934EC"/>
    <w:rsid w:val="009B4A22"/>
    <w:rsid w:val="009B72FB"/>
    <w:rsid w:val="009F6812"/>
    <w:rsid w:val="00A91C66"/>
    <w:rsid w:val="00B12580"/>
    <w:rsid w:val="00B45615"/>
    <w:rsid w:val="00B67F38"/>
    <w:rsid w:val="00C163E6"/>
    <w:rsid w:val="00C64A1F"/>
    <w:rsid w:val="00C77595"/>
    <w:rsid w:val="00C77A42"/>
    <w:rsid w:val="00D44FD4"/>
    <w:rsid w:val="00D51F3F"/>
    <w:rsid w:val="00DA4BC9"/>
    <w:rsid w:val="00E4016C"/>
    <w:rsid w:val="00E634A6"/>
    <w:rsid w:val="00E8696E"/>
    <w:rsid w:val="00E93C13"/>
    <w:rsid w:val="00EE7C5A"/>
    <w:rsid w:val="00EF3D6F"/>
    <w:rsid w:val="00EF746B"/>
    <w:rsid w:val="00F979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 Char Char1"/>
    <w:basedOn w:val="5"/>
    <w:link w:val="3"/>
    <w:semiHidden/>
    <w:uiPriority w:val="99"/>
    <w:rPr>
      <w:sz w:val="18"/>
      <w:szCs w:val="18"/>
    </w:rPr>
  </w:style>
  <w:style w:type="character" w:customStyle="1" w:styleId="7">
    <w:name w:val=" Char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302</Words>
  <Characters>1722</Characters>
  <Lines>14</Lines>
  <Paragraphs>4</Paragraphs>
  <TotalTime>1</TotalTime>
  <ScaleCrop>false</ScaleCrop>
  <LinksUpToDate>false</LinksUpToDate>
  <CharactersWithSpaces>2020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2015-09-05T06:06:00Z</dcterms:created>
  <dc:creator>Administrator</dc:creator>
  <cp:lastModifiedBy>孙建军</cp:lastModifiedBy>
  <cp:lastPrinted>2017-08-10T12:16:00Z</cp:lastPrinted>
  <dcterms:modified xsi:type="dcterms:W3CDTF">2021-11-13T11:04:09Z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