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b/>
          <w:sz w:val="44"/>
        </w:rPr>
        <w:t>西昌学院</w:t>
      </w:r>
      <w:r>
        <w:rPr>
          <w:rFonts w:hint="eastAsia"/>
          <w:b/>
          <w:sz w:val="44"/>
        </w:rPr>
        <w:t>维修项目</w:t>
      </w:r>
      <w:r>
        <w:rPr>
          <w:b/>
          <w:sz w:val="44"/>
        </w:rPr>
        <w:t>验收</w:t>
      </w:r>
      <w:r>
        <w:rPr>
          <w:rFonts w:hint="eastAsia"/>
          <w:b/>
          <w:sz w:val="44"/>
        </w:rPr>
        <w:t>记录</w:t>
      </w:r>
      <w:r>
        <w:rPr>
          <w:b/>
          <w:sz w:val="44"/>
        </w:rPr>
        <w:t>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工程名称：                                 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参加单位:  基本建设处（分管基建校领导）、施工单位、设计\监理单位、监察处和审计处、使用部门等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2" w:type="dxa"/>
            <w:gridSpan w:val="2"/>
          </w:tcPr>
          <w:p>
            <w:r>
              <w:rPr>
                <w:rFonts w:hint="eastAsia" w:ascii="仿宋" w:hAnsi="仿宋" w:eastAsia="仿宋"/>
                <w:sz w:val="24"/>
                <w:szCs w:val="28"/>
              </w:rPr>
              <w:t>验收程序及方式：施工单位申请、基本建设处组织、监察处、审计处监督、使用单位参加；现场走访查看-查阅工程资料-讨论确定整改项目-形成验收结论等。备注:1、2万元以下由基本建设处安排验收；2、2万元及以上的，需监察处、审计处监督；3、10万元及以上的，分管基建的校领导组织；4、有设计\监理单位的，需经其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533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容</w:t>
            </w:r>
          </w:p>
        </w:tc>
        <w:tc>
          <w:tcPr>
            <w:tcW w:w="7989" w:type="dxa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（内容填不下，可附页）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533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89" w:type="dxa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整改后情况：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验收结论：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522" w:type="dxa"/>
            <w:gridSpan w:val="2"/>
          </w:tcPr>
          <w:p>
            <w:r>
              <w:t>签名：</w:t>
            </w:r>
          </w:p>
          <w:p/>
          <w:p/>
          <w:p/>
          <w:p/>
          <w:p/>
          <w:p/>
          <w:p/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01F0"/>
    <w:rsid w:val="4B2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Administrator</dc:creator>
  <cp:lastModifiedBy>Administrator</cp:lastModifiedBy>
  <dcterms:modified xsi:type="dcterms:W3CDTF">2017-11-09T03:03:44Z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