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80" w:firstLineChars="200"/>
        <w:jc w:val="center"/>
        <w:textAlignment w:val="auto"/>
        <w:rPr>
          <w:rFonts w:hint="default" w:ascii="新宋体" w:hAnsi="新宋体" w:eastAsia="新宋体" w:cs="新宋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color w:val="000000"/>
          <w:sz w:val="44"/>
          <w:szCs w:val="44"/>
          <w:lang w:val="en-US" w:eastAsia="zh-CN"/>
        </w:rPr>
        <w:t>四川省优质专业学位研究生教学案例建设（认定）标准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案例内容符合国家法律法规与教育政策导向，深入贯彻社会主义核心价值观，彰显新时代中国特色社会主义的理论与实践。案例内容科学严谨，逻辑清晰，遵循学科发展前沿，体现最新的学术研究成果和技术进展；案例编写理念与方法创新，积极探索并应用数字化、智能化等新技术手段；格式规范，遵循国家或行业标准，确保学术诚信，严禁抄袭等学术不端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教学目标清晰，内容编排合理，层次分明，便于学习与理解，可适应多样化的教学需求；语言规范、简洁，贴近目标读者的认知特点，辅以图表，增强案例的可读性和吸引力。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案例团队成员须具备深厚的专业背景和丰富的教学实践经验，包括行业专家、一线教师及学者。案例负责人须政治强、业务精、作风正，熟知本项目要求，思路清晰，方向明确。团队结构合理，分工明确，高效协作，能够持续更新与优化案例内容，以适应时代变化；鼓励中青年教师牵头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案例应适用于多种教学场景，满足不同教学对象的需求，提升教学效果；具有显著的示范与引领作用，能够在全省乃至全国范围内推广，对其他教育机构产生积极影响。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>深入挖掘四川文化、红色资源、巴蜀文明等地方特色，结合经济社会发展需求，丰富案例内容。推动案例与数字化手段的深度融合，构建线上线下相结合的立体化案例体系，提升学习体验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1OWNmMTc0MTQxYTgxOTNkMzViNGUwZjI1YmQwM2UifQ=="/>
  </w:docVars>
  <w:rsids>
    <w:rsidRoot w:val="2E042293"/>
    <w:rsid w:val="2E04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2026-10-19T07:03:00Z</dcterms:created>
  <dc:creator>吉克·布</dc:creator>
  <cp:lastModifiedBy>吉克·布</cp:lastModifiedBy>
  <dcterms:modified xsi:type="dcterms:W3CDTF">2026-10-19T07:10:31Z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668C1DCB905A4A79981F053C142E3407</vt:lpwstr>
  </property>
</Properties>
</file>